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BD08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  <w:bCs/>
        </w:rPr>
        <w:t>Administration</w:t>
      </w:r>
      <w:r>
        <w:rPr>
          <w:b/>
          <w:bCs/>
        </w:rPr>
        <w:tab/>
      </w:r>
      <w:r>
        <w:t>BP 2111(a)</w:t>
      </w:r>
    </w:p>
    <w:p w14:paraId="72D9C75A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7C1B3AB" w14:textId="57D8777B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b/>
          <w:bCs/>
        </w:rPr>
      </w:pPr>
      <w:r>
        <w:rPr>
          <w:b/>
        </w:rPr>
        <w:t>EXECUTIVE DIRECTOR</w:t>
      </w:r>
      <w:r>
        <w:t xml:space="preserve"> </w:t>
      </w:r>
      <w:r>
        <w:rPr>
          <w:b/>
          <w:bCs/>
        </w:rPr>
        <w:t>GOVERNANCE STANDARDS</w:t>
      </w:r>
    </w:p>
    <w:p w14:paraId="4D167738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F7DA63C" w14:textId="7F5FCED3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The Governing Board recognizes that effective </w:t>
      </w:r>
      <w:r>
        <w:t>College and Career Advantage (CCA)</w:t>
      </w:r>
      <w:r>
        <w:t xml:space="preserve"> Regional Occupational Program (ROP) governance requires strong collaboration and teamwork with the </w:t>
      </w:r>
      <w:r>
        <w:t>Executive Director</w:t>
      </w:r>
      <w:r>
        <w:t xml:space="preserve">.  Because the Board and Executive Director each have their unique roles and responsibilities, both contribute to the responsible governance of </w:t>
      </w:r>
      <w:proofErr w:type="gramStart"/>
      <w:r>
        <w:t>CCA</w:t>
      </w:r>
      <w:proofErr w:type="gramEnd"/>
      <w:r>
        <w:t xml:space="preserve"> and the quality of education provided to </w:t>
      </w:r>
      <w:r>
        <w:t>CCA</w:t>
      </w:r>
      <w:r>
        <w:t>'s students.</w:t>
      </w:r>
    </w:p>
    <w:p w14:paraId="125F3620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sz w:val="18"/>
          <w:szCs w:val="18"/>
        </w:rPr>
      </w:pPr>
    </w:p>
    <w:p w14:paraId="69AC1382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2000 - Concepts and Roles)</w:t>
      </w:r>
    </w:p>
    <w:p w14:paraId="097550AD" w14:textId="716FE505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 xml:space="preserve">(cf. 2110 - </w:t>
      </w:r>
      <w:r w:rsidRPr="007764F2">
        <w:rPr>
          <w:i/>
          <w:iCs/>
          <w:sz w:val="20"/>
        </w:rPr>
        <w:t xml:space="preserve">Executive </w:t>
      </w:r>
      <w:r w:rsidRPr="007764F2">
        <w:rPr>
          <w:i/>
          <w:iCs/>
          <w:sz w:val="20"/>
        </w:rPr>
        <w:t>Director</w:t>
      </w:r>
      <w:r>
        <w:rPr>
          <w:i/>
          <w:iCs/>
          <w:sz w:val="20"/>
        </w:rPr>
        <w:t xml:space="preserve"> Responsibilities</w:t>
      </w:r>
      <w:r>
        <w:rPr>
          <w:i/>
          <w:iCs/>
          <w:sz w:val="20"/>
        </w:rPr>
        <w:t xml:space="preserve"> and Duties)</w:t>
      </w:r>
    </w:p>
    <w:p w14:paraId="74A4A648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9000 - Role of the Board)</w:t>
      </w:r>
    </w:p>
    <w:p w14:paraId="6B8C0327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9005 - Governance Standards)</w:t>
      </w:r>
    </w:p>
    <w:p w14:paraId="7561D7B1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sz w:val="18"/>
          <w:szCs w:val="18"/>
        </w:rPr>
      </w:pPr>
    </w:p>
    <w:p w14:paraId="459C8A20" w14:textId="7EB94222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>The Executive Director is expected to hold himself/herself to the highest standards of ethical conduct and professionalism.</w:t>
      </w:r>
    </w:p>
    <w:p w14:paraId="216BCBF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3F7C6A25" w14:textId="48A5AA9E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t xml:space="preserve">To support the Board in the governance of </w:t>
      </w:r>
      <w:r>
        <w:t>CCA</w:t>
      </w:r>
      <w:r>
        <w:t>, the Executive Director:</w:t>
      </w:r>
    </w:p>
    <w:p w14:paraId="2300D5C0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214E516" w14:textId="44F84C92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1.</w:t>
      </w:r>
      <w:r>
        <w:tab/>
        <w:t xml:space="preserve">Promotes the success of all students and supports the efforts of the Board to keep </w:t>
      </w:r>
      <w:r>
        <w:t>CCA</w:t>
      </w:r>
      <w:r>
        <w:t xml:space="preserve"> focused on learning and achievement</w:t>
      </w:r>
      <w:r>
        <w:t>.</w:t>
      </w:r>
    </w:p>
    <w:p w14:paraId="26A581FE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3678B0A3" w14:textId="13EEA338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2.</w:t>
      </w:r>
      <w:r>
        <w:tab/>
        <w:t xml:space="preserve">Values, </w:t>
      </w:r>
      <w:proofErr w:type="gramStart"/>
      <w:r>
        <w:t>advocates</w:t>
      </w:r>
      <w:proofErr w:type="gramEnd"/>
      <w:r>
        <w:t xml:space="preserve"> and supports public education and all stakeholders</w:t>
      </w:r>
      <w:r>
        <w:t>.</w:t>
      </w:r>
    </w:p>
    <w:p w14:paraId="4F1D1C01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2AC83472" w14:textId="6F1501B0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3.</w:t>
      </w:r>
      <w:r>
        <w:tab/>
        <w:t>Recognizes and respects the differences of perspective and style on the Board and among staff, students, parents/</w:t>
      </w:r>
      <w:proofErr w:type="gramStart"/>
      <w:r>
        <w:t>guardians</w:t>
      </w:r>
      <w:proofErr w:type="gramEnd"/>
      <w:r>
        <w:t xml:space="preserve"> and the community - and ensures that the diverse range of views inform Board decisions</w:t>
      </w:r>
      <w:r>
        <w:t>.</w:t>
      </w:r>
    </w:p>
    <w:p w14:paraId="5D90CA5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16AF25AE" w14:textId="79D15774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4.</w:t>
      </w:r>
      <w:r>
        <w:tab/>
        <w:t>Acts with dignity, treats everyone with civility and respect, and understands the implications of demeanor and behavior</w:t>
      </w:r>
      <w:r>
        <w:t>.</w:t>
      </w:r>
    </w:p>
    <w:p w14:paraId="58452EEB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7125DBBD" w14:textId="64B7CA1B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5.</w:t>
      </w:r>
      <w:r>
        <w:tab/>
        <w:t>Serves as a model for the value of lifelong learning and supports the Board's continuous professional development</w:t>
      </w:r>
      <w:r>
        <w:t>.</w:t>
      </w:r>
    </w:p>
    <w:p w14:paraId="546BD0DA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47382A50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i/>
          <w:iCs/>
          <w:sz w:val="20"/>
        </w:rPr>
      </w:pPr>
      <w:r>
        <w:rPr>
          <w:i/>
          <w:iCs/>
          <w:sz w:val="20"/>
        </w:rPr>
        <w:t>(cf. 9240 - Board Development)</w:t>
      </w:r>
    </w:p>
    <w:p w14:paraId="50BC273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  <w:rPr>
          <w:sz w:val="18"/>
          <w:szCs w:val="18"/>
        </w:rPr>
      </w:pPr>
    </w:p>
    <w:p w14:paraId="5D392EE3" w14:textId="3E33CFCD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6.</w:t>
      </w:r>
      <w:r>
        <w:tab/>
        <w:t xml:space="preserve">Works with the Board as a "governance team" and assures collective responsibility for building a unity of purpose, communicating a common </w:t>
      </w:r>
      <w:proofErr w:type="gramStart"/>
      <w:r>
        <w:t>vision</w:t>
      </w:r>
      <w:proofErr w:type="gramEnd"/>
      <w:r>
        <w:t xml:space="preserve"> and creating a positive organizational culture</w:t>
      </w:r>
      <w:r>
        <w:t>.</w:t>
      </w:r>
    </w:p>
    <w:p w14:paraId="75C8A65C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2DA306D7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(cf. 0000 - Vision)</w:t>
      </w:r>
    </w:p>
    <w:p w14:paraId="624A43D7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561971DC" w14:textId="792C93EC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7.</w:t>
      </w:r>
      <w:r>
        <w:tab/>
        <w:t>Recognizes that the Board/</w:t>
      </w:r>
      <w:r w:rsidRPr="007764F2">
        <w:t xml:space="preserve"> </w:t>
      </w:r>
      <w:r>
        <w:t xml:space="preserve">Executive Director governance relationship is supported by the management team in </w:t>
      </w:r>
      <w:r>
        <w:t>CCA.</w:t>
      </w:r>
    </w:p>
    <w:p w14:paraId="2931EE33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7B8BD5DE" w14:textId="4537A2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8.</w:t>
      </w:r>
      <w:r>
        <w:tab/>
        <w:t xml:space="preserve">Understands the distinctions between Board and staff </w:t>
      </w:r>
      <w:r>
        <w:t>roles and</w:t>
      </w:r>
      <w:r>
        <w:t xml:space="preserve"> respects the role of the Board as the representative of the community</w:t>
      </w:r>
      <w:r>
        <w:t>.</w:t>
      </w:r>
    </w:p>
    <w:p w14:paraId="3E98A075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3C38A427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lastRenderedPageBreak/>
        <w:tab/>
        <w:t>BP 2111(b)</w:t>
      </w:r>
    </w:p>
    <w:p w14:paraId="2AAB851A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11DFD55" w14:textId="502D5AA8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  <w:r>
        <w:rPr>
          <w:b/>
        </w:rPr>
        <w:t xml:space="preserve">EXECUTIVE </w:t>
      </w:r>
      <w:r>
        <w:rPr>
          <w:b/>
        </w:rPr>
        <w:t xml:space="preserve">DIRECTOR </w:t>
      </w:r>
      <w:r>
        <w:rPr>
          <w:b/>
          <w:bCs/>
        </w:rPr>
        <w:t xml:space="preserve">GOVERNANCE </w:t>
      </w:r>
      <w:proofErr w:type="gramStart"/>
      <w:r>
        <w:rPr>
          <w:b/>
          <w:bCs/>
        </w:rPr>
        <w:t>STANDARDS</w:t>
      </w:r>
      <w:r>
        <w:t xml:space="preserve">  (</w:t>
      </w:r>
      <w:proofErr w:type="gramEnd"/>
      <w:r>
        <w:t>continued)</w:t>
      </w:r>
    </w:p>
    <w:p w14:paraId="105594DB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3E3C51BA" w14:textId="6E31AC86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9.</w:t>
      </w:r>
      <w:r>
        <w:tab/>
        <w:t>Understands that authority rests with the Board as a whole; provides guidance to the Board to assist in decision-making; and provides leadership based on the direction of the Board as a whole</w:t>
      </w:r>
      <w:r>
        <w:t>.</w:t>
      </w:r>
    </w:p>
    <w:p w14:paraId="2B1820F1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57B48542" w14:textId="02B472EA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10.</w:t>
      </w:r>
      <w:r>
        <w:tab/>
        <w:t>Communicates openly with trust and integrity, including providing all members of the Board with equal access to information and recognizing the importance of both responsive and anticipatory communications</w:t>
      </w:r>
      <w:r>
        <w:t>.</w:t>
      </w:r>
    </w:p>
    <w:p w14:paraId="4369084C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</w:p>
    <w:p w14:paraId="2F7024DA" w14:textId="2022B2CA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 w:hanging="720"/>
      </w:pPr>
      <w:r>
        <w:t>11.</w:t>
      </w:r>
      <w:r>
        <w:tab/>
        <w:t xml:space="preserve">Accepts leadership responsibility and accountability for implementing the vision, </w:t>
      </w:r>
      <w:proofErr w:type="gramStart"/>
      <w:r>
        <w:t>goals</w:t>
      </w:r>
      <w:proofErr w:type="gramEnd"/>
      <w:r>
        <w:t xml:space="preserve"> and policies of </w:t>
      </w:r>
      <w:r>
        <w:t>CCA.</w:t>
      </w:r>
    </w:p>
    <w:p w14:paraId="7C427F7B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4D04B80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Legal Reference:</w:t>
      </w:r>
    </w:p>
    <w:p w14:paraId="75ED671B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EDUCATION CODE</w:t>
      </w:r>
    </w:p>
    <w:p w14:paraId="2F996F85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proofErr w:type="gramStart"/>
      <w:r>
        <w:rPr>
          <w:i/>
          <w:iCs/>
          <w:sz w:val="20"/>
        </w:rPr>
        <w:t>35020  Duties</w:t>
      </w:r>
      <w:proofErr w:type="gramEnd"/>
      <w:r>
        <w:rPr>
          <w:i/>
          <w:iCs/>
          <w:sz w:val="20"/>
        </w:rPr>
        <w:t xml:space="preserve"> of employees set by governing board</w:t>
      </w:r>
    </w:p>
    <w:p w14:paraId="48EEB809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</w:rPr>
        <w:t>Management Resources:</w:t>
      </w:r>
    </w:p>
    <w:p w14:paraId="0916FC47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CSBA PUBLICATIONS</w:t>
      </w:r>
    </w:p>
    <w:p w14:paraId="51D8DC73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  <w:u w:val="single"/>
        </w:rPr>
        <w:t>Superintendent Governance Standards</w:t>
      </w:r>
      <w:r>
        <w:rPr>
          <w:i/>
          <w:iCs/>
          <w:sz w:val="20"/>
        </w:rPr>
        <w:t>, 2001</w:t>
      </w:r>
    </w:p>
    <w:p w14:paraId="078E0B83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  <w:u w:val="single"/>
        </w:rPr>
        <w:t>CSBA Professional Governance Standards</w:t>
      </w:r>
      <w:r>
        <w:rPr>
          <w:i/>
          <w:iCs/>
          <w:sz w:val="20"/>
        </w:rPr>
        <w:t>, 2000</w:t>
      </w:r>
    </w:p>
    <w:p w14:paraId="6F5C4AFF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AASA PUBLICATIONS</w:t>
      </w:r>
    </w:p>
    <w:p w14:paraId="42B6117F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  <w:u w:val="single"/>
        </w:rPr>
        <w:t>Professional Standards for the Superintendency</w:t>
      </w:r>
      <w:r>
        <w:rPr>
          <w:i/>
          <w:iCs/>
          <w:sz w:val="20"/>
        </w:rPr>
        <w:t>, 1993</w:t>
      </w:r>
    </w:p>
    <w:p w14:paraId="5DCA0E8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WEB SITES</w:t>
      </w:r>
    </w:p>
    <w:p w14:paraId="2B9C1F45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CSBA:  http://www.csba.org</w:t>
      </w:r>
    </w:p>
    <w:p w14:paraId="1F6865D2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ACSA: http://www.acsa.org</w:t>
      </w:r>
    </w:p>
    <w:p w14:paraId="0316F545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  <w:ind w:left="720"/>
        <w:rPr>
          <w:i/>
          <w:iCs/>
          <w:sz w:val="20"/>
        </w:rPr>
      </w:pPr>
      <w:r>
        <w:rPr>
          <w:i/>
          <w:iCs/>
          <w:sz w:val="20"/>
        </w:rPr>
        <w:t>American Association of School Administrators:  http://www.aasa.org</w:t>
      </w:r>
    </w:p>
    <w:p w14:paraId="22CC129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9F1D904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E1F34BD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E36F8AC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0DEEB94D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A477825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42D8ED9F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720BFDC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5E6D1F41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8D25C63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62A8D8C8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0501D59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8DF5104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94668E6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7C146CDA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1B54F3A1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p w14:paraId="25133A5C" w14:textId="77777777" w:rsidR="007764F2" w:rsidRDefault="007764F2" w:rsidP="007764F2">
      <w:pPr>
        <w:widowControl w:val="0"/>
        <w:tabs>
          <w:tab w:val="right" w:pos="9000"/>
        </w:tabs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64F2" w14:paraId="3C88ECCE" w14:textId="77777777" w:rsidTr="007764F2">
        <w:tc>
          <w:tcPr>
            <w:tcW w:w="4675" w:type="dxa"/>
          </w:tcPr>
          <w:p w14:paraId="10216D56" w14:textId="69A64091" w:rsidR="007764F2" w:rsidRDefault="007764F2" w:rsidP="007764F2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Policy</w:t>
            </w:r>
          </w:p>
          <w:p w14:paraId="5869D79C" w14:textId="08B5F9DF" w:rsidR="007764F2" w:rsidRDefault="007764F2" w:rsidP="007764F2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adopted:  October 25, 2006</w:t>
            </w:r>
          </w:p>
          <w:p w14:paraId="26DC7B10" w14:textId="4B68A44E" w:rsidR="007764F2" w:rsidRDefault="007764F2" w:rsidP="007764F2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</w:pPr>
            <w:r>
              <w:t>revised:  January 10, 2024</w:t>
            </w:r>
          </w:p>
        </w:tc>
        <w:tc>
          <w:tcPr>
            <w:tcW w:w="4675" w:type="dxa"/>
          </w:tcPr>
          <w:p w14:paraId="58D61BB7" w14:textId="77777777" w:rsidR="007764F2" w:rsidRPr="007764F2" w:rsidRDefault="007764F2" w:rsidP="007764F2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764F2">
              <w:rPr>
                <w:b/>
                <w:bCs/>
              </w:rPr>
              <w:t>COLLEGE AND CAREER ADVANTAGE</w:t>
            </w:r>
          </w:p>
          <w:p w14:paraId="7369CA75" w14:textId="2E1EB89A" w:rsidR="007764F2" w:rsidRDefault="007764F2" w:rsidP="007764F2">
            <w:pPr>
              <w:widowControl w:val="0"/>
              <w:tabs>
                <w:tab w:val="right" w:pos="9000"/>
              </w:tabs>
              <w:autoSpaceDE w:val="0"/>
              <w:autoSpaceDN w:val="0"/>
              <w:adjustRightInd w:val="0"/>
              <w:jc w:val="right"/>
            </w:pPr>
            <w:r>
              <w:t>San Juan Capistrano, California</w:t>
            </w:r>
          </w:p>
        </w:tc>
      </w:tr>
    </w:tbl>
    <w:p w14:paraId="77233B08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F2"/>
    <w:rsid w:val="000F231F"/>
    <w:rsid w:val="007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C032"/>
  <w15:chartTrackingRefBased/>
  <w15:docId w15:val="{63C7D46E-F7F9-46E1-9124-41B2A606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4F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4F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4F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4F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4F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4F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4F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4F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4F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4F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4F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4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4F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4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2668</Characters>
  <Application>Microsoft Office Word</Application>
  <DocSecurity>0</DocSecurity>
  <Lines>22</Lines>
  <Paragraphs>6</Paragraphs>
  <ScaleCrop>false</ScaleCrop>
  <Company>Capistrano Unified School District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2024-01-10T19:11:00Z</dcterms:created>
  <dcterms:modified xsi:type="dcterms:W3CDTF">2024-01-10T19:20:00Z</dcterms:modified>
</cp:coreProperties>
</file>